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2C4F4F" w:rsidRDefault="00F92268" w:rsidP="00850792">
      <w:pPr>
        <w:pStyle w:val="BodyText"/>
        <w:rPr>
          <w:sz w:val="6"/>
          <w:szCs w:val="6"/>
        </w:rPr>
      </w:pPr>
      <w:r w:rsidRPr="002C4F4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2C4F4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2C4F4F" w:rsidRDefault="00F92268" w:rsidP="00F246C7">
            <w:pPr>
              <w:pStyle w:val="RefTableData"/>
            </w:pPr>
            <w:r w:rsidRPr="002C4F4F">
              <w:t>Reference number(s)</w:t>
            </w:r>
          </w:p>
        </w:tc>
      </w:tr>
      <w:tr w:rsidR="00F92268" w:rsidRPr="002C4F4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291241AD" w:rsidR="00F92268" w:rsidRPr="002C4F4F" w:rsidRDefault="00191971" w:rsidP="00F246C7">
            <w:pPr>
              <w:pStyle w:val="RefTableHeader"/>
            </w:pPr>
            <w:r w:rsidRPr="002C4F4F">
              <w:t>1616-A</w:t>
            </w:r>
          </w:p>
        </w:tc>
      </w:tr>
    </w:tbl>
    <w:p w14:paraId="74FBA5B4" w14:textId="77777777" w:rsidR="00051356" w:rsidRPr="002C4F4F" w:rsidRDefault="00051356" w:rsidP="00125C0E">
      <w:pPr>
        <w:pStyle w:val="BodyText"/>
        <w:spacing w:after="0"/>
        <w:rPr>
          <w:b/>
          <w:bCs/>
          <w:sz w:val="16"/>
          <w:szCs w:val="16"/>
        </w:rPr>
        <w:sectPr w:rsidR="00051356" w:rsidRPr="002C4F4F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E97D954" w:rsidR="004B15BB" w:rsidRPr="002C4F4F" w:rsidRDefault="000E0886" w:rsidP="007E5C16">
      <w:pPr>
        <w:pStyle w:val="Heading1"/>
      </w:pPr>
      <w:r w:rsidRPr="002C4F4F">
        <w:t>Specialty Guideline Management</w:t>
      </w:r>
      <w:r w:rsidRPr="002C4F4F">
        <w:br/>
        <w:t>Aranesp</w:t>
      </w:r>
    </w:p>
    <w:p w14:paraId="78861C92" w14:textId="10A28E20" w:rsidR="00203468" w:rsidRPr="002C4F4F" w:rsidRDefault="00C64534" w:rsidP="008E0F0D">
      <w:pPr>
        <w:pStyle w:val="Heading2"/>
      </w:pPr>
      <w:r w:rsidRPr="002C4F4F">
        <w:t xml:space="preserve">Products Referenced by this </w:t>
      </w:r>
      <w:r w:rsidR="00501602" w:rsidRPr="002C4F4F">
        <w:t>Document</w:t>
      </w:r>
      <w:r w:rsidR="0026796B" w:rsidRPr="002C4F4F">
        <w:t xml:space="preserve"> </w:t>
      </w:r>
    </w:p>
    <w:p w14:paraId="5455152B" w14:textId="746A56C3" w:rsidR="008E0F0D" w:rsidRPr="002C4F4F" w:rsidRDefault="00D82D85" w:rsidP="008B73E8">
      <w:pPr>
        <w:pStyle w:val="BodyText"/>
      </w:pPr>
      <w:r w:rsidRPr="002C4F4F">
        <w:t xml:space="preserve">Drugs that are listed in the </w:t>
      </w:r>
      <w:r w:rsidR="000315F1" w:rsidRPr="002C4F4F">
        <w:t>following table</w:t>
      </w:r>
      <w:r w:rsidRPr="002C4F4F">
        <w:t xml:space="preserve"> include both brand and generic and all dosage forms and strengths unless otherwise stated. </w:t>
      </w:r>
      <w:proofErr w:type="gramStart"/>
      <w:r w:rsidR="00CB29B2" w:rsidRPr="002C4F4F">
        <w:t>Over-the-counter</w:t>
      </w:r>
      <w:proofErr w:type="gramEnd"/>
      <w:r w:rsidR="00CB29B2" w:rsidRPr="002C4F4F">
        <w:t xml:space="preserve"> (OTC)</w:t>
      </w:r>
      <w:r w:rsidRPr="002C4F4F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2C4F4F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2C4F4F" w:rsidRDefault="005B4D7C">
            <w:pPr>
              <w:pStyle w:val="TableHeader"/>
            </w:pPr>
            <w:r w:rsidRPr="002C4F4F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2C4F4F" w:rsidRDefault="005B4D7C">
            <w:pPr>
              <w:pStyle w:val="TableHeader"/>
            </w:pPr>
            <w:r w:rsidRPr="002C4F4F">
              <w:t>Generic Name</w:t>
            </w:r>
          </w:p>
        </w:tc>
      </w:tr>
      <w:tr w:rsidR="005B4D7C" w:rsidRPr="002C4F4F" w14:paraId="7742B1EC" w14:textId="77777777">
        <w:trPr>
          <w:cantSplit/>
        </w:trPr>
        <w:tc>
          <w:tcPr>
            <w:tcW w:w="5265" w:type="dxa"/>
          </w:tcPr>
          <w:p w14:paraId="4DED0C9B" w14:textId="2F857B24" w:rsidR="005B4D7C" w:rsidRPr="002C4F4F" w:rsidRDefault="000E0886">
            <w:pPr>
              <w:pStyle w:val="TableDataUnpadded"/>
            </w:pPr>
            <w:r w:rsidRPr="002C4F4F">
              <w:t>Aranesp</w:t>
            </w:r>
          </w:p>
        </w:tc>
        <w:tc>
          <w:tcPr>
            <w:tcW w:w="5595" w:type="dxa"/>
          </w:tcPr>
          <w:p w14:paraId="1A09710D" w14:textId="62D21BCD" w:rsidR="005B4D7C" w:rsidRPr="002C4F4F" w:rsidRDefault="000E0886">
            <w:pPr>
              <w:pStyle w:val="TableDataUnpadded"/>
            </w:pPr>
            <w:r w:rsidRPr="002C4F4F">
              <w:t>darbepoetin alfa</w:t>
            </w:r>
          </w:p>
        </w:tc>
      </w:tr>
    </w:tbl>
    <w:p w14:paraId="14CE6108" w14:textId="53CA479B" w:rsidR="00FC1AAD" w:rsidRPr="002C4F4F" w:rsidRDefault="00ED052F" w:rsidP="00AA2A94">
      <w:pPr>
        <w:pStyle w:val="Heading2"/>
        <w:tabs>
          <w:tab w:val="left" w:pos="9540"/>
        </w:tabs>
      </w:pPr>
      <w:r w:rsidRPr="002C4F4F">
        <w:t xml:space="preserve">Indications </w:t>
      </w:r>
    </w:p>
    <w:p w14:paraId="0FA54EBC" w14:textId="6A7D4807" w:rsidR="00163FF1" w:rsidRPr="002C4F4F" w:rsidRDefault="00163FF1" w:rsidP="00125C0E">
      <w:pPr>
        <w:pStyle w:val="BodyText"/>
      </w:pPr>
      <w:r w:rsidRPr="002C4F4F">
        <w:t xml:space="preserve">The indications below including FDA-approved indications and compendial uses are considered a covered benefit provided that all the approval criteria are </w:t>
      </w:r>
      <w:proofErr w:type="gramStart"/>
      <w:r w:rsidRPr="002C4F4F">
        <w:t>met</w:t>
      </w:r>
      <w:proofErr w:type="gramEnd"/>
      <w:r w:rsidRPr="002C4F4F">
        <w:t xml:space="preserve"> and the member has no exclusions to the prescribed therapy.</w:t>
      </w:r>
    </w:p>
    <w:p w14:paraId="134B5687" w14:textId="07FF958A" w:rsidR="00ED052F" w:rsidRPr="002C4F4F" w:rsidRDefault="00163FF1" w:rsidP="00ED052F">
      <w:pPr>
        <w:pStyle w:val="Heading3"/>
        <w:keepNext w:val="0"/>
      </w:pPr>
      <w:r w:rsidRPr="002C4F4F">
        <w:t>FDA-Approved Indications</w:t>
      </w:r>
      <w:r w:rsidRPr="002C4F4F">
        <w:rPr>
          <w:vertAlign w:val="superscript"/>
        </w:rPr>
        <w:t>1</w:t>
      </w:r>
      <w:r w:rsidR="00ED052F" w:rsidRPr="002C4F4F">
        <w:t xml:space="preserve"> </w:t>
      </w:r>
    </w:p>
    <w:p w14:paraId="4C11EDD2" w14:textId="55C16CEB" w:rsidR="00ED052F" w:rsidRPr="002C4F4F" w:rsidRDefault="00163FF1" w:rsidP="00ED012B">
      <w:pPr>
        <w:pStyle w:val="Heading4"/>
      </w:pPr>
      <w:r w:rsidRPr="002C4F4F">
        <w:t>Anemia Due to Chronic Kidney Disease</w:t>
      </w:r>
    </w:p>
    <w:p w14:paraId="66DD5D44" w14:textId="404A9094" w:rsidR="00ED052F" w:rsidRPr="002C4F4F" w:rsidRDefault="00163FF1" w:rsidP="00ED052F">
      <w:pPr>
        <w:pStyle w:val="BodyText"/>
      </w:pPr>
      <w:r w:rsidRPr="002C4F4F">
        <w:t>Treatment of anemia due to chronic kidney disease (CKD), including patients on dialysis and patients not on dialysis.</w:t>
      </w:r>
    </w:p>
    <w:p w14:paraId="4A2B0C82" w14:textId="17ED5E73" w:rsidR="00163FF1" w:rsidRPr="002C4F4F" w:rsidRDefault="00163FF1" w:rsidP="00163FF1">
      <w:pPr>
        <w:pStyle w:val="Heading4"/>
      </w:pPr>
      <w:r w:rsidRPr="002C4F4F">
        <w:t>Anemia Due to Chemotherapy in Patients with Cancer</w:t>
      </w:r>
    </w:p>
    <w:p w14:paraId="708BBEB3" w14:textId="660CC0AE" w:rsidR="00163FF1" w:rsidRPr="002C4F4F" w:rsidRDefault="00163FF1" w:rsidP="00163FF1">
      <w:pPr>
        <w:pStyle w:val="BodyText"/>
      </w:pPr>
      <w:r w:rsidRPr="002C4F4F">
        <w:t xml:space="preserve">Treatment of anemia in patients with non-myeloid malignancies where anemia is </w:t>
      </w:r>
      <w:proofErr w:type="gramStart"/>
      <w:r w:rsidRPr="002C4F4F">
        <w:t>due to the effect</w:t>
      </w:r>
      <w:proofErr w:type="gramEnd"/>
      <w:r w:rsidRPr="002C4F4F">
        <w:t xml:space="preserve"> of concomitant myelosuppressive chemotherapy, and upon initiation, there is a minimum of two additional months of planned chemotherapy.</w:t>
      </w:r>
    </w:p>
    <w:p w14:paraId="7CF30ED0" w14:textId="1FAA2ED1" w:rsidR="00F56B1A" w:rsidRPr="002C4F4F" w:rsidRDefault="00F96291" w:rsidP="00F56B1A">
      <w:pPr>
        <w:pStyle w:val="Heading3"/>
        <w:keepNext w:val="0"/>
      </w:pPr>
      <w:r w:rsidRPr="002C4F4F">
        <w:t>Compendial Uses</w:t>
      </w:r>
    </w:p>
    <w:p w14:paraId="14A9CD5D" w14:textId="2074FC96" w:rsidR="00F96291" w:rsidRPr="002C4F4F" w:rsidRDefault="00F96291" w:rsidP="00F96291">
      <w:pPr>
        <w:pStyle w:val="ListParagraph"/>
      </w:pPr>
      <w:r w:rsidRPr="002C4F4F">
        <w:t>Symptomatic anemia in patients with myelodysplastic syndromes (MDS)</w:t>
      </w:r>
      <w:r w:rsidRPr="002C4F4F">
        <w:rPr>
          <w:vertAlign w:val="superscript"/>
        </w:rPr>
        <w:t>2,3,</w:t>
      </w:r>
      <w:r w:rsidR="00B850DA">
        <w:rPr>
          <w:vertAlign w:val="superscript"/>
        </w:rPr>
        <w:t>8</w:t>
      </w:r>
    </w:p>
    <w:p w14:paraId="51382A1F" w14:textId="0E48085D" w:rsidR="00F96291" w:rsidRPr="002C4F4F" w:rsidRDefault="00F96291" w:rsidP="00F96291">
      <w:pPr>
        <w:pStyle w:val="ListParagraph"/>
      </w:pPr>
      <w:r w:rsidRPr="002C4F4F">
        <w:t xml:space="preserve">Anemia in patients who </w:t>
      </w:r>
      <w:r w:rsidR="00FC4015">
        <w:t>will not/cannot receive</w:t>
      </w:r>
      <w:r w:rsidR="002478B5" w:rsidRPr="002C4F4F">
        <w:t xml:space="preserve"> </w:t>
      </w:r>
      <w:r w:rsidRPr="002C4F4F">
        <w:t xml:space="preserve">blood </w:t>
      </w:r>
      <w:proofErr w:type="gramStart"/>
      <w:r w:rsidRPr="002C4F4F">
        <w:t>transfusions</w:t>
      </w:r>
      <w:r w:rsidR="00B850DA">
        <w:rPr>
          <w:vertAlign w:val="superscript"/>
        </w:rPr>
        <w:t>9</w:t>
      </w:r>
      <w:proofErr w:type="gramEnd"/>
    </w:p>
    <w:p w14:paraId="72B4D015" w14:textId="081BA98B" w:rsidR="00F96291" w:rsidRPr="002C4F4F" w:rsidRDefault="002478B5" w:rsidP="00F96291">
      <w:pPr>
        <w:pStyle w:val="ListParagraph"/>
      </w:pPr>
      <w:r>
        <w:lastRenderedPageBreak/>
        <w:t>M</w:t>
      </w:r>
      <w:r w:rsidR="00F96291" w:rsidRPr="002C4F4F">
        <w:t>yelofibrosis</w:t>
      </w:r>
      <w:r>
        <w:t>-associated anemia</w:t>
      </w:r>
      <w:r w:rsidR="00F96291" w:rsidRPr="002C4F4F">
        <w:rPr>
          <w:vertAlign w:val="superscript"/>
        </w:rPr>
        <w:t>2,</w:t>
      </w:r>
      <w:r w:rsidR="00BC30F6">
        <w:rPr>
          <w:vertAlign w:val="superscript"/>
        </w:rPr>
        <w:t>5</w:t>
      </w:r>
      <w:r w:rsidR="00F96291" w:rsidRPr="002C4F4F">
        <w:t xml:space="preserve"> </w:t>
      </w:r>
    </w:p>
    <w:p w14:paraId="5F9124DF" w14:textId="1D9FBA41" w:rsidR="00753B12" w:rsidRPr="002C4F4F" w:rsidRDefault="00F96291" w:rsidP="00F96291">
      <w:pPr>
        <w:pStyle w:val="ListParagraph"/>
      </w:pPr>
      <w:r w:rsidRPr="002C4F4F">
        <w:t>Cancer patients who are undergoing palliative treatment</w:t>
      </w:r>
      <w:r w:rsidRPr="002C4F4F">
        <w:rPr>
          <w:vertAlign w:val="superscript"/>
        </w:rPr>
        <w:t>2</w:t>
      </w:r>
    </w:p>
    <w:p w14:paraId="0417A7BE" w14:textId="38A74BA1" w:rsidR="009A5649" w:rsidRPr="002C4F4F" w:rsidRDefault="00F96291" w:rsidP="009A5649">
      <w:pPr>
        <w:pStyle w:val="BodyText"/>
      </w:pPr>
      <w:r w:rsidRPr="002C4F4F">
        <w:t>All other indications are considered experimental/investigational and not medically necessary.</w:t>
      </w:r>
      <w:r w:rsidR="009A5649" w:rsidRPr="002C4F4F">
        <w:t xml:space="preserve"> </w:t>
      </w:r>
    </w:p>
    <w:p w14:paraId="50A38FBA" w14:textId="3A884250" w:rsidR="00FE0C63" w:rsidRPr="002C4F4F" w:rsidRDefault="00685107" w:rsidP="00E050E1">
      <w:pPr>
        <w:pStyle w:val="Heading2"/>
      </w:pPr>
      <w:r w:rsidRPr="002C4F4F">
        <w:t>Coverage Criteria</w:t>
      </w:r>
      <w:r w:rsidR="00C75C02" w:rsidRPr="002C4F4F">
        <w:t xml:space="preserve"> </w:t>
      </w:r>
    </w:p>
    <w:p w14:paraId="098E8F27" w14:textId="2C1740AD" w:rsidR="00FE0C63" w:rsidRPr="002C4F4F" w:rsidRDefault="00F96291" w:rsidP="00FE0C63">
      <w:pPr>
        <w:pStyle w:val="BodyText"/>
      </w:pPr>
      <w:r w:rsidRPr="002C4F4F">
        <w:t>Note: Requirements regarding pretreatment hemoglobin level exclude values due to a recent transfusion. All members must be assessed for iron deficiency anemia and have adequate iron stores (defined as a serum transferrin saturation [TSAT] level greater than or equal to 20% within the prior 3 months) or are receiving iron therapy before starting Aranesp. Members may not use Aranesp concomitantly with other erythropoiesis</w:t>
      </w:r>
      <w:r w:rsidR="006D4E85">
        <w:t>-</w:t>
      </w:r>
      <w:r w:rsidRPr="002C4F4F">
        <w:t>stimulating agents.</w:t>
      </w:r>
    </w:p>
    <w:p w14:paraId="55523F4F" w14:textId="2843FA03" w:rsidR="00F96291" w:rsidRPr="002C4F4F" w:rsidRDefault="00F96291" w:rsidP="00F96291">
      <w:pPr>
        <w:pStyle w:val="Heading3"/>
        <w:keepNext w:val="0"/>
      </w:pPr>
      <w:r w:rsidRPr="002C4F4F">
        <w:t>Anemia Due to Chronic Kidney Disease (CKD)</w:t>
      </w:r>
      <w:r w:rsidRPr="002C4F4F">
        <w:rPr>
          <w:vertAlign w:val="superscript"/>
        </w:rPr>
        <w:t>1,</w:t>
      </w:r>
      <w:r w:rsidR="00BC30F6">
        <w:rPr>
          <w:vertAlign w:val="superscript"/>
        </w:rPr>
        <w:t>4</w:t>
      </w:r>
    </w:p>
    <w:p w14:paraId="6553F2FE" w14:textId="541AC715" w:rsidR="0073116A" w:rsidRPr="002C4F4F" w:rsidRDefault="0073116A" w:rsidP="0073116A">
      <w:pPr>
        <w:pStyle w:val="BodyText"/>
      </w:pPr>
      <w:r w:rsidRPr="002C4F4F">
        <w:t xml:space="preserve">Authorization of 12 weeks may be granted for treatment of anemia due to chronic kidney disease in members with pretreatment hemoglobin </w:t>
      </w:r>
      <w:r w:rsidR="00CD3A01">
        <w:t>less than</w:t>
      </w:r>
      <w:r w:rsidRPr="002C4F4F">
        <w:t xml:space="preserve"> 10 </w:t>
      </w:r>
      <w:r w:rsidR="006D4E85">
        <w:t>grams per deciliter (</w:t>
      </w:r>
      <w:r w:rsidRPr="002C4F4F">
        <w:t>g/dL</w:t>
      </w:r>
      <w:r w:rsidR="006D4E85">
        <w:t>)</w:t>
      </w:r>
      <w:r w:rsidRPr="002C4F4F">
        <w:t>.</w:t>
      </w:r>
    </w:p>
    <w:p w14:paraId="58C7F51F" w14:textId="59A7F21A" w:rsidR="0073116A" w:rsidRPr="002C4F4F" w:rsidRDefault="006C0D09" w:rsidP="0073116A">
      <w:pPr>
        <w:pStyle w:val="Heading3"/>
        <w:keepNext w:val="0"/>
      </w:pPr>
      <w:r w:rsidRPr="002C4F4F">
        <w:t>Anemia Due to Myelosuppressive Chemotherapy</w:t>
      </w:r>
      <w:r w:rsidRPr="002C4F4F">
        <w:rPr>
          <w:vertAlign w:val="superscript"/>
        </w:rPr>
        <w:t>1,2</w:t>
      </w:r>
    </w:p>
    <w:p w14:paraId="0A13916A" w14:textId="00F8EED5" w:rsidR="0073116A" w:rsidRPr="002C4F4F" w:rsidRDefault="006C0D09" w:rsidP="0073116A">
      <w:pPr>
        <w:pStyle w:val="BodyText"/>
      </w:pPr>
      <w:r w:rsidRPr="002C4F4F">
        <w:t xml:space="preserve">Authorization of 12 weeks may be granted for treatment of anemia due to myelosuppressive chemotherapy in members with non-myeloid malignancy and pretreatment hemoglobin </w:t>
      </w:r>
      <w:r w:rsidR="00CD3A01">
        <w:t>less than</w:t>
      </w:r>
      <w:r w:rsidRPr="002C4F4F">
        <w:t xml:space="preserve"> 10 g/dL.</w:t>
      </w:r>
    </w:p>
    <w:p w14:paraId="3BD1B1FC" w14:textId="37C06A5B" w:rsidR="006C0D09" w:rsidRPr="002C4F4F" w:rsidRDefault="006C0D09" w:rsidP="006C0D09">
      <w:pPr>
        <w:pStyle w:val="Heading3"/>
        <w:keepNext w:val="0"/>
      </w:pPr>
      <w:r w:rsidRPr="002C4F4F">
        <w:t>Anemia in Myelodysplastic Syndrome (MDS)</w:t>
      </w:r>
      <w:r w:rsidRPr="002C4F4F">
        <w:rPr>
          <w:vertAlign w:val="superscript"/>
        </w:rPr>
        <w:t>2,</w:t>
      </w:r>
      <w:r w:rsidR="00BC30F6">
        <w:rPr>
          <w:vertAlign w:val="superscript"/>
        </w:rPr>
        <w:t>6</w:t>
      </w:r>
      <w:r w:rsidRPr="002C4F4F">
        <w:rPr>
          <w:vertAlign w:val="superscript"/>
        </w:rPr>
        <w:t>,</w:t>
      </w:r>
      <w:r w:rsidR="00BC30F6">
        <w:rPr>
          <w:vertAlign w:val="superscript"/>
        </w:rPr>
        <w:t>7</w:t>
      </w:r>
    </w:p>
    <w:p w14:paraId="76A5E61D" w14:textId="356C2570" w:rsidR="006C0D09" w:rsidRPr="002C4F4F" w:rsidRDefault="006C0D09" w:rsidP="006C0D09">
      <w:pPr>
        <w:pStyle w:val="BodyText"/>
      </w:pPr>
      <w:r w:rsidRPr="002C4F4F">
        <w:t xml:space="preserve">Authorization of 12 weeks may be granted for treatment of anemia in myelodysplastic syndrome in members with a pretreatment hemoglobin </w:t>
      </w:r>
      <w:r w:rsidR="00CD3A01">
        <w:t>less than</w:t>
      </w:r>
      <w:r w:rsidRPr="002C4F4F">
        <w:t xml:space="preserve"> 10 g/dL.</w:t>
      </w:r>
    </w:p>
    <w:p w14:paraId="5579D102" w14:textId="4474FAA0" w:rsidR="006C0D09" w:rsidRPr="002C4F4F" w:rsidRDefault="006C0D09" w:rsidP="006C0D09">
      <w:pPr>
        <w:pStyle w:val="Heading3"/>
        <w:keepNext w:val="0"/>
      </w:pPr>
      <w:r w:rsidRPr="002C4F4F">
        <w:t xml:space="preserve">Anemia in </w:t>
      </w:r>
      <w:r w:rsidR="001F61CA">
        <w:t>M</w:t>
      </w:r>
      <w:r w:rsidRPr="002C4F4F">
        <w:t xml:space="preserve">embers </w:t>
      </w:r>
      <w:r w:rsidR="001F61CA">
        <w:t>W</w:t>
      </w:r>
      <w:r w:rsidRPr="002C4F4F">
        <w:t>ho</w:t>
      </w:r>
      <w:r w:rsidR="00FC4015">
        <w:t xml:space="preserve"> </w:t>
      </w:r>
      <w:r w:rsidR="001F61CA">
        <w:t>W</w:t>
      </w:r>
      <w:r w:rsidR="00FC4015">
        <w:t xml:space="preserve">ill </w:t>
      </w:r>
      <w:r w:rsidR="001F61CA">
        <w:t>N</w:t>
      </w:r>
      <w:r w:rsidR="00FC4015">
        <w:t>ot/</w:t>
      </w:r>
      <w:r w:rsidR="001F61CA">
        <w:t>C</w:t>
      </w:r>
      <w:r w:rsidR="00FC4015">
        <w:t>annot</w:t>
      </w:r>
      <w:r w:rsidRPr="002C4F4F">
        <w:t xml:space="preserve"> </w:t>
      </w:r>
      <w:r w:rsidR="001F61CA">
        <w:t>R</w:t>
      </w:r>
      <w:r w:rsidR="00CE4CC8">
        <w:t>e</w:t>
      </w:r>
      <w:r w:rsidR="00FC4015">
        <w:t>ceive</w:t>
      </w:r>
      <w:r w:rsidRPr="002C4F4F">
        <w:t xml:space="preserve"> </w:t>
      </w:r>
      <w:r w:rsidR="001F61CA">
        <w:t>B</w:t>
      </w:r>
      <w:r w:rsidRPr="002C4F4F">
        <w:t xml:space="preserve">lood </w:t>
      </w:r>
      <w:r w:rsidR="001F61CA">
        <w:t>T</w:t>
      </w:r>
      <w:r w:rsidRPr="002C4F4F">
        <w:t>ransfusions</w:t>
      </w:r>
      <w:r w:rsidR="00BC30F6">
        <w:rPr>
          <w:vertAlign w:val="superscript"/>
        </w:rPr>
        <w:t>8</w:t>
      </w:r>
    </w:p>
    <w:p w14:paraId="3D5417E9" w14:textId="1FC75620" w:rsidR="006C0D09" w:rsidRPr="002C4F4F" w:rsidRDefault="006C0D09" w:rsidP="006C0D09">
      <w:pPr>
        <w:pStyle w:val="BodyText"/>
      </w:pPr>
      <w:r w:rsidRPr="002C4F4F">
        <w:t>Authorization of 12 weeks may be granted for treatment of anemia in members who</w:t>
      </w:r>
      <w:r w:rsidR="00CE4CC8">
        <w:t xml:space="preserve"> </w:t>
      </w:r>
      <w:r w:rsidR="00FC4015">
        <w:t xml:space="preserve">will not/cannot receive </w:t>
      </w:r>
      <w:r w:rsidRPr="002C4F4F">
        <w:t>blood transfusions</w:t>
      </w:r>
      <w:r w:rsidR="00CE4CC8">
        <w:t xml:space="preserve"> (e.g., religious beliefs)</w:t>
      </w:r>
      <w:r w:rsidRPr="002C4F4F">
        <w:t xml:space="preserve"> with pretreatment hemoglobin </w:t>
      </w:r>
      <w:r w:rsidR="00CD3A01">
        <w:t>less than</w:t>
      </w:r>
      <w:r w:rsidRPr="002C4F4F">
        <w:t xml:space="preserve"> 10 g/dL.</w:t>
      </w:r>
    </w:p>
    <w:p w14:paraId="5E262BD8" w14:textId="7C79F74E" w:rsidR="006C0D09" w:rsidRPr="002C4F4F" w:rsidRDefault="006C0D09" w:rsidP="006C0D09">
      <w:pPr>
        <w:pStyle w:val="Heading3"/>
        <w:keepNext w:val="0"/>
      </w:pPr>
      <w:r w:rsidRPr="002C4F4F">
        <w:t>Myelofibrosis</w:t>
      </w:r>
      <w:r w:rsidR="00CE4CC8">
        <w:t>-associated Anemia</w:t>
      </w:r>
      <w:r w:rsidRPr="002C4F4F">
        <w:rPr>
          <w:vertAlign w:val="superscript"/>
        </w:rPr>
        <w:t>2,</w:t>
      </w:r>
      <w:r w:rsidR="00BC30F6">
        <w:rPr>
          <w:vertAlign w:val="superscript"/>
        </w:rPr>
        <w:t>5</w:t>
      </w:r>
    </w:p>
    <w:p w14:paraId="796CF460" w14:textId="6A652665" w:rsidR="006C0D09" w:rsidRPr="002C4F4F" w:rsidRDefault="006C0D09" w:rsidP="006C0D09">
      <w:pPr>
        <w:pStyle w:val="BodyText"/>
      </w:pPr>
      <w:r w:rsidRPr="002C4F4F">
        <w:t xml:space="preserve">Authorization of 12 weeks may be granted for treatment of </w:t>
      </w:r>
      <w:r w:rsidR="00CE4CC8">
        <w:t xml:space="preserve">myelofibrosis-associated </w:t>
      </w:r>
      <w:r w:rsidRPr="002C4F4F">
        <w:t xml:space="preserve">anemia in members who meet </w:t>
      </w:r>
      <w:r w:rsidR="00CE4CC8">
        <w:t>both</w:t>
      </w:r>
      <w:r w:rsidRPr="002C4F4F">
        <w:t xml:space="preserve"> of the following criteria:</w:t>
      </w:r>
    </w:p>
    <w:p w14:paraId="2D02A1B7" w14:textId="4D54559A" w:rsidR="006C0D09" w:rsidRPr="002C4F4F" w:rsidRDefault="006C0D09" w:rsidP="007B49CB">
      <w:pPr>
        <w:pStyle w:val="ListParagraph"/>
        <w:numPr>
          <w:ilvl w:val="0"/>
          <w:numId w:val="28"/>
        </w:numPr>
      </w:pPr>
      <w:r w:rsidRPr="002C4F4F">
        <w:t xml:space="preserve">Pretreatment hemoglobin </w:t>
      </w:r>
      <w:r w:rsidR="00CD3A01">
        <w:t>less than</w:t>
      </w:r>
      <w:r w:rsidRPr="002C4F4F">
        <w:t xml:space="preserve"> 10 g/dL.</w:t>
      </w:r>
    </w:p>
    <w:p w14:paraId="3DFDBCF6" w14:textId="7B7C633F" w:rsidR="00FE0C63" w:rsidRPr="002C4F4F" w:rsidRDefault="006C0D09" w:rsidP="007B49CB">
      <w:pPr>
        <w:pStyle w:val="ListParagraph"/>
        <w:numPr>
          <w:ilvl w:val="0"/>
          <w:numId w:val="28"/>
        </w:numPr>
      </w:pPr>
      <w:r w:rsidRPr="002C4F4F">
        <w:t xml:space="preserve">Pretreatment serum erythropoietin (EPO) level </w:t>
      </w:r>
      <w:r w:rsidR="00CD3A01">
        <w:t>less than</w:t>
      </w:r>
      <w:r w:rsidRPr="002C4F4F">
        <w:t xml:space="preserve"> 500 </w:t>
      </w:r>
      <w:r w:rsidR="00CE4CC8">
        <w:t>milliunits per milliliter (</w:t>
      </w:r>
      <w:r w:rsidRPr="002C4F4F">
        <w:t>mU/mL</w:t>
      </w:r>
      <w:r w:rsidR="00CE4CC8">
        <w:t>)</w:t>
      </w:r>
      <w:r w:rsidRPr="002C4F4F">
        <w:t>.</w:t>
      </w:r>
    </w:p>
    <w:p w14:paraId="5E357792" w14:textId="45596BF7" w:rsidR="00C22F9B" w:rsidRPr="002C4F4F" w:rsidRDefault="006C0D09" w:rsidP="00C22F9B">
      <w:pPr>
        <w:pStyle w:val="Heading3"/>
      </w:pPr>
      <w:r w:rsidRPr="002C4F4F">
        <w:lastRenderedPageBreak/>
        <w:t>Anemia Due to Cancer</w:t>
      </w:r>
      <w:r w:rsidRPr="002C4F4F">
        <w:rPr>
          <w:vertAlign w:val="superscript"/>
        </w:rPr>
        <w:t>2</w:t>
      </w:r>
    </w:p>
    <w:p w14:paraId="443905D6" w14:textId="068D3B3D" w:rsidR="00C22F9B" w:rsidRPr="002C4F4F" w:rsidRDefault="006C0D09" w:rsidP="00C22F9B">
      <w:pPr>
        <w:pStyle w:val="BodyText"/>
      </w:pPr>
      <w:r w:rsidRPr="002C4F4F">
        <w:t>Authorization of 12 weeks may be granted for treatment of anemia due to cancer in members who have cancer and are undergoing palliative treatment.</w:t>
      </w:r>
    </w:p>
    <w:p w14:paraId="1E58F0DD" w14:textId="39070765" w:rsidR="00125C0E" w:rsidRPr="002C4F4F" w:rsidRDefault="00125C0E" w:rsidP="00125C0E">
      <w:pPr>
        <w:pStyle w:val="Heading2"/>
      </w:pPr>
      <w:bookmarkStart w:id="0" w:name="S2.2"/>
      <w:bookmarkStart w:id="1" w:name="section-2.2"/>
      <w:bookmarkStart w:id="2" w:name="section-2.2.1"/>
      <w:bookmarkStart w:id="3" w:name="section-2.2.2"/>
      <w:bookmarkEnd w:id="0"/>
      <w:bookmarkEnd w:id="1"/>
      <w:bookmarkEnd w:id="2"/>
      <w:bookmarkEnd w:id="3"/>
      <w:r w:rsidRPr="002C4F4F">
        <w:t>Continuation Of Therapy</w:t>
      </w:r>
    </w:p>
    <w:p w14:paraId="7245036C" w14:textId="457ECE0D" w:rsidR="00125C0E" w:rsidRPr="002C4F4F" w:rsidRDefault="00125C0E" w:rsidP="00125C0E">
      <w:pPr>
        <w:pStyle w:val="BodyText"/>
      </w:pPr>
      <w:r w:rsidRPr="002C4F4F">
        <w:t>Note: Requirements regarding current hemoglobin level exclude values due to a recent transfusion. All members must be assessed for iron deficiency anemia and have adequate iron stores (defined as a serum transferrin saturation [TSAT] level greater than or equal to 20% within the prior 3 months) or are receiving iron therapy before continuation of treatment with Aranesp. Members may not use Aranesp concomitantly with other erythropoiesis</w:t>
      </w:r>
      <w:r w:rsidR="00CE4CC8">
        <w:t>-</w:t>
      </w:r>
      <w:r w:rsidRPr="002C4F4F">
        <w:t>stimulating agents.</w:t>
      </w:r>
    </w:p>
    <w:p w14:paraId="2ECDCE67" w14:textId="78210A18" w:rsidR="00125C0E" w:rsidRPr="002C4F4F" w:rsidRDefault="00125C0E" w:rsidP="00125C0E">
      <w:pPr>
        <w:pStyle w:val="BodyText"/>
      </w:pPr>
      <w:r w:rsidRPr="002C4F4F">
        <w:rPr>
          <w:bCs/>
        </w:rPr>
        <w:t>For all indications below: All members</w:t>
      </w:r>
      <w:r w:rsidRPr="002C4F4F">
        <w:t xml:space="preserve"> (including new members) requesting authorization for continuation of therapy after at least 12 weeks of </w:t>
      </w:r>
      <w:r w:rsidR="00CE4CC8">
        <w:t>Aranesp</w:t>
      </w:r>
      <w:r w:rsidRPr="002C4F4F">
        <w:t xml:space="preserve"> treatment must show a response with a rise in hemoglobin of </w:t>
      </w:r>
      <w:r w:rsidR="00CD3A01" w:rsidRPr="00CD3A01">
        <w:t>greater than or equal to</w:t>
      </w:r>
      <w:r w:rsidRPr="002C4F4F">
        <w:t xml:space="preserve"> 1 g/dL. Members who completed less than 12 weeks of </w:t>
      </w:r>
      <w:r w:rsidR="00CE4CC8">
        <w:t>Aranesp</w:t>
      </w:r>
      <w:r w:rsidRPr="002C4F4F">
        <w:t xml:space="preserve"> treatment and have not yet responded with a rise in hemoglobin of </w:t>
      </w:r>
      <w:r w:rsidR="00CD3A01" w:rsidRPr="00CD3A01">
        <w:t>greater than or equal to</w:t>
      </w:r>
      <w:r w:rsidRPr="002C4F4F">
        <w:t xml:space="preserve"> 1 g/dL may be granted authorization of up to 12 weeks to allow for sufficient time to demonstrate a response.</w:t>
      </w:r>
    </w:p>
    <w:p w14:paraId="08E02429" w14:textId="5BA390A7" w:rsidR="00125C0E" w:rsidRPr="002C4F4F" w:rsidRDefault="00125C0E" w:rsidP="00125C0E">
      <w:pPr>
        <w:pStyle w:val="Heading3"/>
      </w:pPr>
      <w:r w:rsidRPr="002C4F4F">
        <w:t xml:space="preserve">Anemia due to </w:t>
      </w:r>
      <w:proofErr w:type="gramStart"/>
      <w:r w:rsidRPr="002C4F4F">
        <w:t>Chronic Kidney Disease</w:t>
      </w:r>
      <w:proofErr w:type="gramEnd"/>
      <w:r w:rsidRPr="002C4F4F">
        <w:t xml:space="preserve"> (CKD)</w:t>
      </w:r>
      <w:r w:rsidRPr="002C4F4F">
        <w:rPr>
          <w:vertAlign w:val="superscript"/>
        </w:rPr>
        <w:t>1,</w:t>
      </w:r>
      <w:r w:rsidR="00BC30F6">
        <w:rPr>
          <w:vertAlign w:val="superscript"/>
        </w:rPr>
        <w:t>4</w:t>
      </w:r>
    </w:p>
    <w:p w14:paraId="19D8016E" w14:textId="38E966EC" w:rsidR="00125C0E" w:rsidRPr="002C4F4F" w:rsidRDefault="00125C0E" w:rsidP="00125C0E">
      <w:pPr>
        <w:pStyle w:val="BodyText"/>
      </w:pPr>
      <w:r w:rsidRPr="002C4F4F">
        <w:t xml:space="preserve">Authorization of 12 weeks may be granted for continued treatment of anemia due to chronic kidney disease in members with current hemoglobin </w:t>
      </w:r>
      <w:r w:rsidR="00CD3A01">
        <w:t>less than</w:t>
      </w:r>
      <w:r w:rsidRPr="002C4F4F">
        <w:t xml:space="preserve"> 12 g/dL. </w:t>
      </w:r>
    </w:p>
    <w:p w14:paraId="4B0A81BD" w14:textId="77777777" w:rsidR="00125C0E" w:rsidRPr="002C4F4F" w:rsidRDefault="00125C0E" w:rsidP="00125C0E">
      <w:pPr>
        <w:pStyle w:val="Heading3"/>
      </w:pPr>
      <w:r w:rsidRPr="002C4F4F">
        <w:t>Anemia Due to Myelosuppressive Chemotherapy</w:t>
      </w:r>
      <w:r w:rsidRPr="002C4F4F">
        <w:rPr>
          <w:vertAlign w:val="superscript"/>
        </w:rPr>
        <w:t>1,2</w:t>
      </w:r>
    </w:p>
    <w:p w14:paraId="6D201A6E" w14:textId="6CD62D87" w:rsidR="00125C0E" w:rsidRPr="002C4F4F" w:rsidRDefault="00125C0E" w:rsidP="00125C0E">
      <w:pPr>
        <w:pStyle w:val="BodyText"/>
      </w:pPr>
      <w:r w:rsidRPr="002C4F4F">
        <w:t xml:space="preserve">Authorization of 12 weeks may be granted for continued treatment of anemia due to myelosuppressive chemotherapy in members with non-myeloid malignancy and current hemoglobin </w:t>
      </w:r>
      <w:r w:rsidR="00CD3A01">
        <w:t>less than</w:t>
      </w:r>
      <w:r w:rsidRPr="002C4F4F">
        <w:t xml:space="preserve"> 12 g/dL.</w:t>
      </w:r>
    </w:p>
    <w:p w14:paraId="1BA8FDAB" w14:textId="3C3D98A2" w:rsidR="00125C0E" w:rsidRPr="002C4F4F" w:rsidRDefault="00125C0E" w:rsidP="00125C0E">
      <w:pPr>
        <w:pStyle w:val="Heading3"/>
      </w:pPr>
      <w:r w:rsidRPr="002C4F4F">
        <w:t>Anemia in Myelodysplastic Syndrome (MDS)</w:t>
      </w:r>
      <w:r w:rsidRPr="002C4F4F">
        <w:rPr>
          <w:vertAlign w:val="superscript"/>
        </w:rPr>
        <w:t>2,</w:t>
      </w:r>
      <w:r w:rsidR="00BC30F6">
        <w:rPr>
          <w:vertAlign w:val="superscript"/>
        </w:rPr>
        <w:t>6</w:t>
      </w:r>
      <w:r w:rsidRPr="002C4F4F">
        <w:rPr>
          <w:vertAlign w:val="superscript"/>
        </w:rPr>
        <w:t>,</w:t>
      </w:r>
      <w:r w:rsidR="003D15BC">
        <w:rPr>
          <w:vertAlign w:val="superscript"/>
        </w:rPr>
        <w:t>7</w:t>
      </w:r>
    </w:p>
    <w:p w14:paraId="3D1838ED" w14:textId="674F9B0B" w:rsidR="00125C0E" w:rsidRPr="002C4F4F" w:rsidRDefault="00125C0E" w:rsidP="00125C0E">
      <w:pPr>
        <w:pStyle w:val="BodyText"/>
        <w:rPr>
          <w:b/>
        </w:rPr>
      </w:pPr>
      <w:r w:rsidRPr="002C4F4F">
        <w:t xml:space="preserve">Authorization of 12 weeks may be granted for continued treatment of anemia in myelodysplastic syndrome in members with current hemoglobin </w:t>
      </w:r>
      <w:r w:rsidR="00CD3A01">
        <w:t>less than</w:t>
      </w:r>
      <w:r w:rsidRPr="002C4F4F">
        <w:t xml:space="preserve"> 12 g/dL. </w:t>
      </w:r>
    </w:p>
    <w:p w14:paraId="4A45D15C" w14:textId="24C514D5" w:rsidR="00125C0E" w:rsidRPr="002C4F4F" w:rsidRDefault="00125C0E" w:rsidP="00125C0E">
      <w:pPr>
        <w:pStyle w:val="Heading3"/>
      </w:pPr>
      <w:r w:rsidRPr="002C4F4F">
        <w:t>Anemia in members who</w:t>
      </w:r>
      <w:r w:rsidR="00CE4CC8">
        <w:t xml:space="preserve"> </w:t>
      </w:r>
      <w:r w:rsidR="00FC4015">
        <w:t xml:space="preserve">will not/cannot </w:t>
      </w:r>
      <w:r w:rsidR="00CE4CC8">
        <w:t>re</w:t>
      </w:r>
      <w:r w:rsidR="00FC4015">
        <w:t>ceive</w:t>
      </w:r>
      <w:r w:rsidRPr="002C4F4F">
        <w:t xml:space="preserve"> blood </w:t>
      </w:r>
      <w:proofErr w:type="gramStart"/>
      <w:r w:rsidRPr="002C4F4F">
        <w:t>transfusions</w:t>
      </w:r>
      <w:r w:rsidR="003D15BC">
        <w:rPr>
          <w:vertAlign w:val="superscript"/>
        </w:rPr>
        <w:t>8</w:t>
      </w:r>
      <w:proofErr w:type="gramEnd"/>
    </w:p>
    <w:p w14:paraId="737D98A6" w14:textId="1EB12EED" w:rsidR="00125C0E" w:rsidRPr="002C4F4F" w:rsidRDefault="00125C0E" w:rsidP="00125C0E">
      <w:pPr>
        <w:pStyle w:val="BodyText"/>
        <w:rPr>
          <w:b/>
        </w:rPr>
      </w:pPr>
      <w:r w:rsidRPr="002C4F4F">
        <w:t>Authorization of 12 weeks may be granted for continued treatment of anemia in members who</w:t>
      </w:r>
      <w:r w:rsidR="00FC4015">
        <w:t xml:space="preserve"> will not/cannot receive</w:t>
      </w:r>
      <w:r w:rsidRPr="002C4F4F">
        <w:t xml:space="preserve"> blood transfusions</w:t>
      </w:r>
      <w:r w:rsidR="00CE4CC8">
        <w:t xml:space="preserve"> (e.g., religious beliefs)</w:t>
      </w:r>
      <w:r w:rsidRPr="002C4F4F">
        <w:t xml:space="preserve"> with current hemoglobin </w:t>
      </w:r>
      <w:r w:rsidR="00CD3A01">
        <w:t>less than</w:t>
      </w:r>
      <w:r w:rsidRPr="002C4F4F">
        <w:t xml:space="preserve"> 12 g/dL. </w:t>
      </w:r>
    </w:p>
    <w:p w14:paraId="66B79C62" w14:textId="71C9AD59" w:rsidR="00125C0E" w:rsidRPr="002C4F4F" w:rsidRDefault="00125C0E" w:rsidP="00125C0E">
      <w:pPr>
        <w:pStyle w:val="Heading3"/>
      </w:pPr>
      <w:r w:rsidRPr="002C4F4F">
        <w:lastRenderedPageBreak/>
        <w:t>Myelofibrosis</w:t>
      </w:r>
      <w:r w:rsidR="00CE4CC8">
        <w:t>-associated Anemia</w:t>
      </w:r>
      <w:r w:rsidRPr="002C4F4F">
        <w:rPr>
          <w:vertAlign w:val="superscript"/>
        </w:rPr>
        <w:t>2,</w:t>
      </w:r>
      <w:r w:rsidR="003D15BC">
        <w:rPr>
          <w:vertAlign w:val="superscript"/>
        </w:rPr>
        <w:t>5</w:t>
      </w:r>
    </w:p>
    <w:p w14:paraId="2CF73B5D" w14:textId="3B0ACAC1" w:rsidR="00125C0E" w:rsidRPr="002C4F4F" w:rsidRDefault="00125C0E" w:rsidP="00125C0E">
      <w:pPr>
        <w:pStyle w:val="BodyText"/>
      </w:pPr>
      <w:r w:rsidRPr="002C4F4F">
        <w:t xml:space="preserve">Authorization of 12 weeks may be granted for continued treatment of </w:t>
      </w:r>
      <w:r w:rsidR="00E154E6">
        <w:t xml:space="preserve">myelofibrosis-associated </w:t>
      </w:r>
      <w:r w:rsidRPr="002C4F4F">
        <w:t xml:space="preserve">anemia in members with current hemoglobin </w:t>
      </w:r>
      <w:r w:rsidR="00CD3A01">
        <w:t>less than</w:t>
      </w:r>
      <w:r w:rsidRPr="002C4F4F">
        <w:t xml:space="preserve"> 12 g/dL. </w:t>
      </w:r>
    </w:p>
    <w:p w14:paraId="426B9CF6" w14:textId="77777777" w:rsidR="00125C0E" w:rsidRPr="002C4F4F" w:rsidRDefault="00125C0E" w:rsidP="00125C0E">
      <w:pPr>
        <w:pStyle w:val="Heading3"/>
      </w:pPr>
      <w:r w:rsidRPr="002C4F4F">
        <w:t>Anemia Due to Cancer</w:t>
      </w:r>
      <w:r w:rsidRPr="002C4F4F">
        <w:rPr>
          <w:vertAlign w:val="superscript"/>
        </w:rPr>
        <w:t>2</w:t>
      </w:r>
    </w:p>
    <w:p w14:paraId="303663C6" w14:textId="77777777" w:rsidR="009453D0" w:rsidRPr="002C4F4F" w:rsidRDefault="00125C0E" w:rsidP="00125C0E">
      <w:pPr>
        <w:pStyle w:val="BodyText"/>
      </w:pPr>
      <w:r w:rsidRPr="002C4F4F">
        <w:t>Authorization of 12 weeks may be granted for continued treatment of anemia due to cancer in members who have cancer and are undergoing palliative treatment.</w:t>
      </w:r>
    </w:p>
    <w:p w14:paraId="26D2CFA9" w14:textId="77777777" w:rsidR="009453D0" w:rsidRPr="002C4F4F" w:rsidRDefault="009453D0" w:rsidP="00125C0E">
      <w:pPr>
        <w:pStyle w:val="BodyText"/>
        <w:sectPr w:rsidR="009453D0" w:rsidRPr="002C4F4F" w:rsidSect="00AA1E6A"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10DA4309" w14:textId="61ABA817" w:rsidR="00FF66BF" w:rsidRPr="002C4F4F" w:rsidRDefault="00FF66BF" w:rsidP="00FF66BF">
      <w:pPr>
        <w:pStyle w:val="Heading2"/>
      </w:pPr>
      <w:r w:rsidRPr="002C4F4F">
        <w:t>References</w:t>
      </w:r>
    </w:p>
    <w:p w14:paraId="087C477C" w14:textId="66477E58" w:rsidR="00A60357" w:rsidRPr="002C4F4F" w:rsidRDefault="00A60357" w:rsidP="00A60357">
      <w:pPr>
        <w:pStyle w:val="ReferenceOrdered"/>
      </w:pPr>
      <w:r w:rsidRPr="002C4F4F">
        <w:t xml:space="preserve">Aranesp [package insert]. Thousand Oaks, CA: Amgen Inc.; </w:t>
      </w:r>
      <w:r w:rsidR="00E154E6">
        <w:t>April 2024</w:t>
      </w:r>
      <w:r w:rsidRPr="002C4F4F">
        <w:t>.</w:t>
      </w:r>
    </w:p>
    <w:p w14:paraId="22CF0883" w14:textId="69B1BA47" w:rsidR="00A60357" w:rsidRPr="002C4F4F" w:rsidRDefault="00A60357" w:rsidP="00A60357">
      <w:pPr>
        <w:pStyle w:val="ReferenceOrdered"/>
      </w:pPr>
      <w:r w:rsidRPr="002C4F4F">
        <w:t xml:space="preserve">National Comprehensive Cancer Network. The NCCN Drugs &amp; Biologics Compendium. http://www.nccn.org. Accessed September </w:t>
      </w:r>
      <w:r w:rsidR="00E154E6">
        <w:t>3</w:t>
      </w:r>
      <w:r w:rsidRPr="002C4F4F">
        <w:t>, 202</w:t>
      </w:r>
      <w:r w:rsidR="00E154E6">
        <w:t>4</w:t>
      </w:r>
      <w:r w:rsidRPr="002C4F4F">
        <w:t xml:space="preserve">. </w:t>
      </w:r>
    </w:p>
    <w:p w14:paraId="7B86405C" w14:textId="69AAF96A" w:rsidR="00A60357" w:rsidRPr="002C4F4F" w:rsidRDefault="00A60357" w:rsidP="00A60357">
      <w:pPr>
        <w:pStyle w:val="ReferenceOrdered"/>
      </w:pPr>
      <w:r w:rsidRPr="002C4F4F">
        <w:t xml:space="preserve">Micromedex Solutions [database online]. Ann Arbor, MI: Truven Health Analytics Inc. Updated periodically. www.micromedexsolutions.com [available with subscription]. Accessed September </w:t>
      </w:r>
      <w:r w:rsidR="00246512">
        <w:t>3</w:t>
      </w:r>
      <w:r w:rsidRPr="002C4F4F">
        <w:t>, 202</w:t>
      </w:r>
      <w:r w:rsidR="00246512">
        <w:t>4</w:t>
      </w:r>
      <w:r w:rsidRPr="002C4F4F">
        <w:t>.</w:t>
      </w:r>
    </w:p>
    <w:p w14:paraId="46193F8F" w14:textId="77777777" w:rsidR="00A60357" w:rsidRPr="002C4F4F" w:rsidRDefault="00A60357" w:rsidP="00A60357">
      <w:pPr>
        <w:pStyle w:val="ReferenceOrdered"/>
      </w:pPr>
      <w:r w:rsidRPr="002C4F4F">
        <w:t xml:space="preserve">Kidney Disease: Improving Global Outcomes (KDIGO) Anemia Work Group. KDIGO Clinical Practice Guideline for Anemia in Chronic Kidney Disease. </w:t>
      </w:r>
      <w:r w:rsidRPr="006F588A">
        <w:rPr>
          <w:i/>
          <w:iCs/>
        </w:rPr>
        <w:t>Kidney Int.</w:t>
      </w:r>
      <w:r w:rsidRPr="002C4F4F">
        <w:t xml:space="preserve"> 2012; Suppl 2:279-335.</w:t>
      </w:r>
    </w:p>
    <w:p w14:paraId="51A83D98" w14:textId="5165079D" w:rsidR="00A60357" w:rsidRPr="002C4F4F" w:rsidRDefault="00A60357" w:rsidP="00A60357">
      <w:pPr>
        <w:pStyle w:val="ReferenceOrdered"/>
      </w:pPr>
      <w:r w:rsidRPr="002C4F4F">
        <w:t>National Comprehensive Cancer Network. NCCN Clinical Practice Guidelines in Oncology: Myeloproliferative Neoplasms. Version 2.202</w:t>
      </w:r>
      <w:r w:rsidR="006C0165">
        <w:t>4</w:t>
      </w:r>
      <w:r w:rsidRPr="002C4F4F">
        <w:t xml:space="preserve">. http://www.nccn.org/professionals/physician_gls/pdf/mpn.pdf. Accessed September </w:t>
      </w:r>
      <w:r w:rsidR="006C0165">
        <w:t>3</w:t>
      </w:r>
      <w:r w:rsidRPr="002C4F4F">
        <w:t>, 202</w:t>
      </w:r>
      <w:r w:rsidR="006C0165">
        <w:t>4</w:t>
      </w:r>
      <w:r w:rsidRPr="002C4F4F">
        <w:t xml:space="preserve">. </w:t>
      </w:r>
    </w:p>
    <w:p w14:paraId="3E4FD898" w14:textId="77777777" w:rsidR="00A60357" w:rsidRPr="002C4F4F" w:rsidRDefault="00A60357" w:rsidP="00A60357">
      <w:pPr>
        <w:pStyle w:val="ReferenceOrdered"/>
      </w:pPr>
      <w:proofErr w:type="spellStart"/>
      <w:r w:rsidRPr="002C4F4F">
        <w:t>Gabrilove</w:t>
      </w:r>
      <w:proofErr w:type="spellEnd"/>
      <w:r w:rsidRPr="002C4F4F">
        <w:t xml:space="preserve"> J, Paquette R, Lyons R, Mushtaq C, Sekeres M, et al. Phase 2, single-arm trial to evaluate the effectiveness of darbepoetin alfa for correcting anemia in patients with myelodysplastic syndromes. </w:t>
      </w:r>
      <w:r w:rsidRPr="006F588A">
        <w:rPr>
          <w:i/>
          <w:iCs/>
        </w:rPr>
        <w:t xml:space="preserve">Br J </w:t>
      </w:r>
      <w:proofErr w:type="spellStart"/>
      <w:r w:rsidRPr="006F588A">
        <w:rPr>
          <w:i/>
          <w:iCs/>
        </w:rPr>
        <w:t>Haematol</w:t>
      </w:r>
      <w:proofErr w:type="spellEnd"/>
      <w:r w:rsidRPr="006F588A">
        <w:rPr>
          <w:i/>
          <w:iCs/>
        </w:rPr>
        <w:t>.</w:t>
      </w:r>
      <w:r w:rsidRPr="002C4F4F">
        <w:t xml:space="preserve"> 2008 Aug; 142(3): 379–393.</w:t>
      </w:r>
    </w:p>
    <w:p w14:paraId="26E25A0F" w14:textId="0828F502" w:rsidR="00FF66BF" w:rsidRDefault="00A60357" w:rsidP="00A60357">
      <w:pPr>
        <w:pStyle w:val="ReferenceOrdered"/>
      </w:pPr>
      <w:r w:rsidRPr="002C4F4F">
        <w:t xml:space="preserve">National Comprehensive Cancer Network. NCCN Clinical Practice Guidelines in Oncology: Myelodysplastic Syndromes. Version </w:t>
      </w:r>
      <w:r w:rsidR="006C0165">
        <w:t>3</w:t>
      </w:r>
      <w:r w:rsidRPr="002C4F4F">
        <w:t>.202</w:t>
      </w:r>
      <w:r w:rsidR="006C0165">
        <w:t>4</w:t>
      </w:r>
      <w:r w:rsidRPr="002C4F4F">
        <w:t xml:space="preserve">. https://www.nccn.org/professionals/physician_gls/pdf/mds.pdf. Accessed September </w:t>
      </w:r>
      <w:r w:rsidR="006C0165">
        <w:t>3</w:t>
      </w:r>
      <w:r w:rsidRPr="002C4F4F">
        <w:t>, 202</w:t>
      </w:r>
      <w:r w:rsidR="006C0165">
        <w:t>4</w:t>
      </w:r>
      <w:r w:rsidRPr="002C4F4F">
        <w:t>.</w:t>
      </w:r>
    </w:p>
    <w:p w14:paraId="47E1A10C" w14:textId="569C8E46" w:rsidR="00C44990" w:rsidRPr="00323204" w:rsidRDefault="006C0165" w:rsidP="00323204">
      <w:pPr>
        <w:pStyle w:val="ReferenceOrdered"/>
      </w:pPr>
      <w:r w:rsidRPr="006C0165">
        <w:t>National Comprehensive Cancer Network. NCCN Clinical Practice Guidelines in Oncology: Hematopoietic Growth Factors. Version 3.2024. https://www.nccn.org/professionals/physician_gls/pdf/growthfactors.pdf. Accessed September 7, 2024.</w:t>
      </w:r>
    </w:p>
    <w:sectPr w:rsidR="00C44990" w:rsidRPr="00323204" w:rsidSect="00AA1E6A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5A445" w14:textId="77777777" w:rsidR="00425EB2" w:rsidRDefault="00425EB2">
      <w:r>
        <w:separator/>
      </w:r>
    </w:p>
  </w:endnote>
  <w:endnote w:type="continuationSeparator" w:id="0">
    <w:p w14:paraId="3B51DEA5" w14:textId="77777777" w:rsidR="00425EB2" w:rsidRDefault="00425EB2">
      <w:r>
        <w:continuationSeparator/>
      </w:r>
    </w:p>
  </w:endnote>
  <w:endnote w:type="continuationNotice" w:id="1">
    <w:p w14:paraId="32D333B1" w14:textId="77777777" w:rsidR="00425EB2" w:rsidRDefault="00425E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93C0" w14:textId="691C61E8" w:rsidR="00D26C93" w:rsidRPr="00EC47B6" w:rsidRDefault="00D26C93" w:rsidP="00D26C9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>
      <w:rPr>
        <w:rFonts w:cs="Arial"/>
        <w:noProof/>
        <w:snapToGrid w:val="0"/>
        <w:color w:val="000000"/>
        <w:sz w:val="16"/>
        <w:szCs w:val="16"/>
      </w:rPr>
      <w:t>Aranesp SGM</w:t>
    </w:r>
    <w:r w:rsidRPr="004E5B77">
      <w:rPr>
        <w:rFonts w:cs="Arial"/>
        <w:noProof/>
        <w:sz w:val="16"/>
        <w:szCs w:val="16"/>
      </w:rPr>
      <w:t xml:space="preserve"> 1616-A</w:t>
    </w:r>
    <w:r>
      <w:rPr>
        <w:rFonts w:cs="Arial"/>
        <w:noProof/>
        <w:snapToGrid w:val="0"/>
        <w:color w:val="000000"/>
        <w:sz w:val="16"/>
        <w:szCs w:val="16"/>
      </w:rPr>
      <w:t xml:space="preserve"> </w:t>
    </w:r>
    <w:r w:rsidR="00323204">
      <w:rPr>
        <w:rFonts w:cs="Arial"/>
        <w:noProof/>
        <w:snapToGrid w:val="0"/>
        <w:color w:val="000000"/>
        <w:sz w:val="16"/>
        <w:szCs w:val="16"/>
      </w:rPr>
      <w:t>P</w:t>
    </w:r>
    <w:r>
      <w:rPr>
        <w:rFonts w:cs="Arial"/>
        <w:noProof/>
        <w:snapToGrid w:val="0"/>
        <w:color w:val="000000"/>
        <w:sz w:val="16"/>
        <w:szCs w:val="16"/>
      </w:rPr>
      <w:t>2024</w:t>
    </w:r>
    <w:r w:rsidR="00B43AF4">
      <w:rPr>
        <w:rFonts w:cs="Arial"/>
        <w:noProof/>
        <w:snapToGrid w:val="0"/>
        <w:color w:val="000000"/>
        <w:sz w:val="16"/>
        <w:szCs w:val="16"/>
      </w:rPr>
      <w:t>_R</w:t>
    </w:r>
    <w:r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2024 CVS Caremark. All rights reserved.</w:t>
    </w:r>
  </w:p>
  <w:p w14:paraId="7DFF0F0D" w14:textId="77777777" w:rsidR="00D26C93" w:rsidRPr="00EC47B6" w:rsidRDefault="00D26C93" w:rsidP="00D26C9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</w:t>
    </w:r>
    <w:proofErr w:type="gramStart"/>
    <w:r w:rsidRPr="00EC47B6">
      <w:rPr>
        <w:rFonts w:cs="Arial"/>
        <w:snapToGrid w:val="0"/>
        <w:sz w:val="16"/>
        <w:szCs w:val="16"/>
      </w:rPr>
      <w:t>distributed</w:t>
    </w:r>
    <w:proofErr w:type="gramEnd"/>
    <w:r w:rsidRPr="00EC47B6">
      <w:rPr>
        <w:rFonts w:cs="Arial"/>
        <w:snapToGrid w:val="0"/>
        <w:sz w:val="16"/>
        <w:szCs w:val="16"/>
      </w:rPr>
      <w:t xml:space="preserve">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3CF171EA" w14:textId="77777777" w:rsidR="00D26C93" w:rsidRPr="00EC47B6" w:rsidRDefault="00D26C93" w:rsidP="00D26C93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  <w:p w14:paraId="0DF8DEBC" w14:textId="6528FFAC" w:rsidR="00F75C81" w:rsidRPr="00AA1E6A" w:rsidRDefault="00F75C81" w:rsidP="00AA1E6A">
    <w:pPr>
      <w:tabs>
        <w:tab w:val="right" w:pos="10710"/>
      </w:tabs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3B8FC41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B43AF4">
      <w:rPr>
        <w:rFonts w:cs="Arial"/>
        <w:noProof/>
        <w:snapToGrid w:val="0"/>
        <w:color w:val="000000"/>
        <w:sz w:val="16"/>
        <w:szCs w:val="16"/>
      </w:rPr>
      <w:t>Aranesp SGM</w:t>
    </w:r>
    <w:r w:rsidR="00B43AF4" w:rsidRPr="00B43AF4">
      <w:rPr>
        <w:rFonts w:cs="Arial"/>
        <w:noProof/>
        <w:sz w:val="16"/>
        <w:szCs w:val="16"/>
      </w:rPr>
      <w:t xml:space="preserve"> 1616-A</w:t>
    </w:r>
    <w:r w:rsidR="00B43AF4">
      <w:rPr>
        <w:rFonts w:cs="Arial"/>
        <w:noProof/>
        <w:snapToGrid w:val="0"/>
        <w:color w:val="000000"/>
        <w:sz w:val="16"/>
        <w:szCs w:val="16"/>
      </w:rPr>
      <w:t xml:space="preserve"> </w:t>
    </w:r>
    <w:r w:rsidR="00323204">
      <w:rPr>
        <w:rFonts w:cs="Arial"/>
        <w:noProof/>
        <w:snapToGrid w:val="0"/>
        <w:color w:val="000000"/>
        <w:sz w:val="16"/>
        <w:szCs w:val="16"/>
      </w:rPr>
      <w:t>P</w:t>
    </w:r>
    <w:r w:rsidR="00B43AF4">
      <w:rPr>
        <w:rFonts w:cs="Arial"/>
        <w:noProof/>
        <w:snapToGrid w:val="0"/>
        <w:color w:val="000000"/>
        <w:sz w:val="16"/>
        <w:szCs w:val="16"/>
      </w:rPr>
      <w:t>2024</w:t>
    </w:r>
    <w:r w:rsidR="00032BF9">
      <w:rPr>
        <w:rFonts w:cs="Arial"/>
        <w:noProof/>
        <w:snapToGrid w:val="0"/>
        <w:color w:val="000000"/>
        <w:sz w:val="16"/>
        <w:szCs w:val="16"/>
      </w:rPr>
      <w:t>_R</w:t>
    </w:r>
    <w:r w:rsidR="00B43AF4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777777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 xml:space="preserve">. </w:t>
    </w:r>
  </w:p>
  <w:p w14:paraId="11D3145F" w14:textId="77777777" w:rsidR="00F50D98" w:rsidRPr="00EC47B6" w:rsidRDefault="00F50D98" w:rsidP="00F50D98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  <w:p w14:paraId="64F317B8" w14:textId="70439046" w:rsidR="00ED04EC" w:rsidRPr="00F50D98" w:rsidRDefault="00ED04EC" w:rsidP="004E5B77">
    <w:pPr>
      <w:tabs>
        <w:tab w:val="right" w:pos="10710"/>
      </w:tabs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4A99" w14:textId="77777777" w:rsidR="00425EB2" w:rsidRDefault="00425EB2">
      <w:r>
        <w:separator/>
      </w:r>
    </w:p>
  </w:footnote>
  <w:footnote w:type="continuationSeparator" w:id="0">
    <w:p w14:paraId="3A273C69" w14:textId="77777777" w:rsidR="00425EB2" w:rsidRDefault="00425EB2">
      <w:r>
        <w:continuationSeparator/>
      </w:r>
    </w:p>
  </w:footnote>
  <w:footnote w:type="continuationNotice" w:id="1">
    <w:p w14:paraId="14F5676E" w14:textId="77777777" w:rsidR="00425EB2" w:rsidRDefault="00425E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125C0E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661FC19" w:rsidR="00ED04EC" w:rsidRPr="004C7F1D" w:rsidRDefault="00191971" w:rsidP="00125C0E">
          <w:pPr>
            <w:pStyle w:val="RefTableData"/>
          </w:pPr>
          <w:r w:rsidRPr="00191971">
            <w:t>1616-A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CF247B"/>
    <w:multiLevelType w:val="hybridMultilevel"/>
    <w:tmpl w:val="59F6AF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7640DF"/>
    <w:multiLevelType w:val="hybridMultilevel"/>
    <w:tmpl w:val="D2DE1A68"/>
    <w:lvl w:ilvl="0" w:tplc="0409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510037"/>
    <w:multiLevelType w:val="multilevel"/>
    <w:tmpl w:val="8F7C2222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lvlText w:val="1.%2."/>
      <w:lvlJc w:val="righ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8" w15:restartNumberingAfterBreak="0">
    <w:nsid w:val="73BA0190"/>
    <w:multiLevelType w:val="multilevel"/>
    <w:tmpl w:val="273811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6"/>
  </w:num>
  <w:num w:numId="17" w16cid:durableId="2128498676">
    <w:abstractNumId w:val="29"/>
  </w:num>
  <w:num w:numId="18" w16cid:durableId="299724409">
    <w:abstractNumId w:val="21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30"/>
  </w:num>
  <w:num w:numId="22" w16cid:durableId="1472481103">
    <w:abstractNumId w:val="23"/>
  </w:num>
  <w:num w:numId="23" w16cid:durableId="1997420403">
    <w:abstractNumId w:val="25"/>
  </w:num>
  <w:num w:numId="24" w16cid:durableId="33312838">
    <w:abstractNumId w:val="22"/>
  </w:num>
  <w:num w:numId="25" w16cid:durableId="507404939">
    <w:abstractNumId w:val="15"/>
  </w:num>
  <w:num w:numId="26" w16cid:durableId="1950313333">
    <w:abstractNumId w:val="18"/>
  </w:num>
  <w:num w:numId="27" w16cid:durableId="1866016584">
    <w:abstractNumId w:val="17"/>
  </w:num>
  <w:num w:numId="28" w16cid:durableId="602151208">
    <w:abstractNumId w:val="28"/>
  </w:num>
  <w:num w:numId="29" w16cid:durableId="893346025">
    <w:abstractNumId w:val="26"/>
  </w:num>
  <w:num w:numId="30" w16cid:durableId="2140609082">
    <w:abstractNumId w:val="27"/>
  </w:num>
  <w:num w:numId="31" w16cid:durableId="13133686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2BF9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862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B89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17D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886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35FF"/>
    <w:rsid w:val="001244EB"/>
    <w:rsid w:val="0012494A"/>
    <w:rsid w:val="00125550"/>
    <w:rsid w:val="00125C0E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3FF1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1971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23AE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1CA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6512"/>
    <w:rsid w:val="00247014"/>
    <w:rsid w:val="002478B5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978D3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4F4F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CC7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204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46B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2B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13C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5BC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5EB2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0C6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135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1ED1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5B77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5FB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7E0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079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4D0"/>
    <w:rsid w:val="005B496D"/>
    <w:rsid w:val="005B4D7C"/>
    <w:rsid w:val="005B52C4"/>
    <w:rsid w:val="005B6F7B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C1A"/>
    <w:rsid w:val="005C6D2C"/>
    <w:rsid w:val="005C70B5"/>
    <w:rsid w:val="005C778C"/>
    <w:rsid w:val="005C7E7D"/>
    <w:rsid w:val="005D0CD7"/>
    <w:rsid w:val="005D0ED8"/>
    <w:rsid w:val="005D1377"/>
    <w:rsid w:val="005D14DC"/>
    <w:rsid w:val="005D154E"/>
    <w:rsid w:val="005D15DD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165"/>
    <w:rsid w:val="006C05C5"/>
    <w:rsid w:val="006C093D"/>
    <w:rsid w:val="006C0D09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85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88A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4F64"/>
    <w:rsid w:val="00725714"/>
    <w:rsid w:val="0072615B"/>
    <w:rsid w:val="007267CF"/>
    <w:rsid w:val="00727843"/>
    <w:rsid w:val="0073079A"/>
    <w:rsid w:val="0073116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9CB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377A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3AB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36469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41E9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842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3FC2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483"/>
    <w:rsid w:val="00942522"/>
    <w:rsid w:val="0094296E"/>
    <w:rsid w:val="0094298C"/>
    <w:rsid w:val="009434E1"/>
    <w:rsid w:val="009453D0"/>
    <w:rsid w:val="0094553A"/>
    <w:rsid w:val="00946CDC"/>
    <w:rsid w:val="00947FC1"/>
    <w:rsid w:val="009517E1"/>
    <w:rsid w:val="00951B46"/>
    <w:rsid w:val="00952792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6F41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357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4A44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B0B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AF4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0DA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3FF3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2867"/>
    <w:rsid w:val="00BC30F6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7460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A01"/>
    <w:rsid w:val="00CD3C27"/>
    <w:rsid w:val="00CD4084"/>
    <w:rsid w:val="00CD59BF"/>
    <w:rsid w:val="00CD6AFD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4CC8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A1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539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26C9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3D43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4E6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5A9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EF7F15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1A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03C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291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015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00FF7753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A92E61-ADD8-4B09-9FFB-280786C5357B}"/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  <ds:schemaRef ds:uri="d8141934-0c15-45a3-8ee8-53e64ae38189"/>
    <ds:schemaRef ds:uri="043d2832-9d9b-42b0-abd6-be76ec978c95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976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Aranesp SGM 1616-A 2023</vt:lpstr>
    </vt:vector>
  </TitlesOfParts>
  <Company>PCS Health Systems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Aranesp SGM 1616-A 2023</dc:title>
  <dc:subject/>
  <dc:creator>CVS Caremark</dc:creator>
  <cp:keywords/>
  <cp:lastModifiedBy>Suh, Amy H</cp:lastModifiedBy>
  <cp:revision>5</cp:revision>
  <cp:lastPrinted>2018-01-09T11:01:00Z</cp:lastPrinted>
  <dcterms:created xsi:type="dcterms:W3CDTF">2025-01-07T16:49:00Z</dcterms:created>
  <dcterms:modified xsi:type="dcterms:W3CDTF">2025-01-07T16:50:00Z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1757300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